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AC" w:rsidRDefault="00984BAC" w:rsidP="00984BAC">
      <w:pPr>
        <w:rPr>
          <w:rFonts w:ascii="Arial" w:hAnsi="Arial" w:cs="Arial"/>
          <w:b/>
        </w:rPr>
      </w:pPr>
      <w:r>
        <w:rPr>
          <w:rFonts w:ascii="Arial" w:hAnsi="Arial" w:cs="Arial"/>
          <w:b/>
        </w:rPr>
        <w:t>Hoyle Court Primary School</w:t>
      </w:r>
    </w:p>
    <w:p w:rsidR="00984BAC" w:rsidRPr="007C67DB" w:rsidRDefault="00984BAC" w:rsidP="00984BAC">
      <w:pPr>
        <w:rPr>
          <w:rFonts w:ascii="Arial" w:hAnsi="Arial" w:cs="Arial"/>
          <w:b/>
        </w:rPr>
      </w:pPr>
      <w:r w:rsidRPr="007C67DB">
        <w:rPr>
          <w:rFonts w:ascii="Arial" w:hAnsi="Arial" w:cs="Arial"/>
          <w:b/>
        </w:rPr>
        <w:t>Pay Committee Terms of Reference</w:t>
      </w:r>
    </w:p>
    <w:p w:rsidR="00984BAC" w:rsidRPr="007C67DB" w:rsidRDefault="00984BAC" w:rsidP="00984BAC">
      <w:pPr>
        <w:pStyle w:val="NoSpacing"/>
        <w:rPr>
          <w:rFonts w:ascii="Arial" w:hAnsi="Arial" w:cs="Arial"/>
          <w:u w:val="single"/>
        </w:rPr>
      </w:pPr>
      <w:r w:rsidRPr="007C67DB">
        <w:rPr>
          <w:rFonts w:ascii="Arial" w:hAnsi="Arial" w:cs="Arial"/>
          <w:u w:val="single"/>
        </w:rPr>
        <w:t>Delegation of Function</w:t>
      </w:r>
    </w:p>
    <w:p w:rsidR="00984BAC" w:rsidRPr="007C67DB" w:rsidRDefault="00984BAC" w:rsidP="00984BAC">
      <w:pPr>
        <w:rPr>
          <w:rFonts w:ascii="Arial" w:hAnsi="Arial" w:cs="Arial"/>
        </w:rPr>
      </w:pPr>
      <w:r w:rsidRPr="007C67DB">
        <w:rPr>
          <w:rFonts w:ascii="Arial" w:hAnsi="Arial" w:cs="Arial"/>
        </w:rPr>
        <w:t>The Governing Board shall establish a Pay Committee authorised to decide all pay matters relating to staff, to decide performance matters relating to staff (other than the Headteacher, to recommend the whole school Pay Policy for adoption by the Governing Board on an annual basis, and to monitor the implementation of the Pay Policy.</w:t>
      </w:r>
    </w:p>
    <w:p w:rsidR="00984BAC" w:rsidRPr="007C67DB" w:rsidRDefault="00984BAC" w:rsidP="00984BAC">
      <w:pPr>
        <w:pStyle w:val="NoSpacing"/>
        <w:rPr>
          <w:rFonts w:ascii="Arial" w:hAnsi="Arial" w:cs="Arial"/>
          <w:u w:val="single"/>
        </w:rPr>
      </w:pPr>
      <w:r w:rsidRPr="007C67DB">
        <w:rPr>
          <w:rFonts w:ascii="Arial" w:hAnsi="Arial" w:cs="Arial"/>
          <w:u w:val="single"/>
        </w:rPr>
        <w:t xml:space="preserve">Clerking </w:t>
      </w:r>
    </w:p>
    <w:p w:rsidR="00984BAC" w:rsidRPr="007C67DB" w:rsidRDefault="00984BAC" w:rsidP="00984BAC">
      <w:pPr>
        <w:pStyle w:val="NoSpacing"/>
        <w:rPr>
          <w:rFonts w:ascii="Arial" w:hAnsi="Arial" w:cs="Arial"/>
        </w:rPr>
      </w:pPr>
      <w:r w:rsidRPr="007C67DB">
        <w:rPr>
          <w:rFonts w:ascii="Arial" w:hAnsi="Arial" w:cs="Arial"/>
        </w:rPr>
        <w:t xml:space="preserve">The meeting of the Pay Committee should not be clerked by anyone who works at the school. </w:t>
      </w:r>
    </w:p>
    <w:p w:rsidR="00984BAC" w:rsidRPr="007C67DB" w:rsidRDefault="00984BAC" w:rsidP="00984BAC">
      <w:pPr>
        <w:pStyle w:val="NoSpacing"/>
        <w:rPr>
          <w:rFonts w:ascii="Arial" w:hAnsi="Arial" w:cs="Arial"/>
        </w:rPr>
      </w:pPr>
    </w:p>
    <w:p w:rsidR="00984BAC" w:rsidRPr="007C67DB" w:rsidRDefault="00984BAC" w:rsidP="00984BAC">
      <w:pPr>
        <w:pStyle w:val="NoSpacing"/>
        <w:rPr>
          <w:rFonts w:ascii="Arial" w:hAnsi="Arial" w:cs="Arial"/>
          <w:u w:val="single"/>
        </w:rPr>
      </w:pPr>
      <w:r w:rsidRPr="007C67DB">
        <w:rPr>
          <w:rFonts w:ascii="Arial" w:hAnsi="Arial" w:cs="Arial"/>
          <w:u w:val="single"/>
        </w:rPr>
        <w:t>Membership</w:t>
      </w:r>
    </w:p>
    <w:p w:rsidR="00984BAC" w:rsidRPr="007C67DB" w:rsidRDefault="00984BAC" w:rsidP="00984BAC">
      <w:pPr>
        <w:pStyle w:val="NoSpacing"/>
        <w:rPr>
          <w:rFonts w:ascii="Arial" w:hAnsi="Arial" w:cs="Arial"/>
        </w:rPr>
      </w:pPr>
      <w:r w:rsidRPr="007C67DB">
        <w:rPr>
          <w:rFonts w:ascii="Arial" w:hAnsi="Arial" w:cs="Arial"/>
        </w:rPr>
        <w:t>The Pay Committee sha</w:t>
      </w:r>
      <w:r>
        <w:rPr>
          <w:rFonts w:ascii="Arial" w:hAnsi="Arial" w:cs="Arial"/>
        </w:rPr>
        <w:t>l</w:t>
      </w:r>
      <w:r w:rsidRPr="007C67DB">
        <w:rPr>
          <w:rFonts w:ascii="Arial" w:hAnsi="Arial" w:cs="Arial"/>
        </w:rPr>
        <w:t>l consist of at least three named members of the Governing Board, none of whom are paid to work at the school or who are Associate Members.</w:t>
      </w:r>
    </w:p>
    <w:p w:rsidR="00984BAC" w:rsidRPr="007C67DB" w:rsidRDefault="00984BAC" w:rsidP="00984BAC">
      <w:pPr>
        <w:pStyle w:val="NoSpacing"/>
        <w:rPr>
          <w:rFonts w:ascii="Arial" w:hAnsi="Arial" w:cs="Arial"/>
        </w:rPr>
      </w:pPr>
    </w:p>
    <w:p w:rsidR="00984BAC" w:rsidRPr="007C67DB" w:rsidRDefault="00984BAC" w:rsidP="00984BAC">
      <w:pPr>
        <w:pStyle w:val="NoSpacing"/>
        <w:rPr>
          <w:rFonts w:ascii="Arial" w:hAnsi="Arial" w:cs="Arial"/>
          <w:u w:val="single"/>
        </w:rPr>
      </w:pPr>
      <w:r w:rsidRPr="007C67DB">
        <w:rPr>
          <w:rFonts w:ascii="Arial" w:hAnsi="Arial" w:cs="Arial"/>
          <w:u w:val="single"/>
        </w:rPr>
        <w:t>Quorum</w:t>
      </w:r>
    </w:p>
    <w:p w:rsidR="00984BAC" w:rsidRPr="007C67DB" w:rsidRDefault="00984BAC" w:rsidP="00984BAC">
      <w:pPr>
        <w:pStyle w:val="NoSpacing"/>
        <w:rPr>
          <w:rFonts w:ascii="Arial" w:hAnsi="Arial" w:cs="Arial"/>
        </w:rPr>
      </w:pPr>
      <w:r w:rsidRPr="007C67DB">
        <w:rPr>
          <w:rFonts w:ascii="Arial" w:hAnsi="Arial" w:cs="Arial"/>
        </w:rPr>
        <w:t>Three non-school governors.</w:t>
      </w:r>
    </w:p>
    <w:p w:rsidR="00984BAC" w:rsidRPr="007C67DB" w:rsidRDefault="00984BAC" w:rsidP="00984BAC">
      <w:pPr>
        <w:pStyle w:val="NoSpacing"/>
        <w:rPr>
          <w:rFonts w:ascii="Arial" w:hAnsi="Arial" w:cs="Arial"/>
        </w:rPr>
      </w:pPr>
    </w:p>
    <w:p w:rsidR="00984BAC" w:rsidRPr="007C67DB" w:rsidRDefault="00984BAC" w:rsidP="00984BAC">
      <w:pPr>
        <w:pStyle w:val="NoSpacing"/>
        <w:rPr>
          <w:rFonts w:ascii="Arial" w:hAnsi="Arial" w:cs="Arial"/>
          <w:u w:val="single"/>
        </w:rPr>
      </w:pPr>
      <w:r w:rsidRPr="007C67DB">
        <w:rPr>
          <w:rFonts w:ascii="Arial" w:hAnsi="Arial" w:cs="Arial"/>
          <w:u w:val="single"/>
        </w:rPr>
        <w:t>Terms of Reference</w:t>
      </w:r>
    </w:p>
    <w:p w:rsidR="00984BAC" w:rsidRPr="007C67DB" w:rsidRDefault="00984BAC" w:rsidP="00984BAC">
      <w:pPr>
        <w:pStyle w:val="NoSpacing"/>
        <w:rPr>
          <w:rFonts w:ascii="Arial" w:hAnsi="Arial" w:cs="Arial"/>
        </w:rPr>
      </w:pPr>
      <w:r w:rsidRPr="007C67DB">
        <w:rPr>
          <w:rFonts w:ascii="Arial" w:hAnsi="Arial" w:cs="Arial"/>
        </w:rPr>
        <w:t xml:space="preserve">The Pay committee will have full powers to make decisions within the Pay Policy adopted by the Governing Board. All discussions relating to individual pay and/or determinations made by the Pay Committee must remain confidential and all documentation must be stored appropriately. </w:t>
      </w:r>
    </w:p>
    <w:p w:rsidR="00984BAC" w:rsidRPr="007C67DB" w:rsidRDefault="00984BAC" w:rsidP="00984BAC">
      <w:pPr>
        <w:pStyle w:val="NoSpacing"/>
        <w:numPr>
          <w:ilvl w:val="0"/>
          <w:numId w:val="1"/>
        </w:numPr>
        <w:rPr>
          <w:rFonts w:ascii="Arial" w:hAnsi="Arial" w:cs="Arial"/>
        </w:rPr>
      </w:pPr>
      <w:r w:rsidRPr="007C67DB">
        <w:rPr>
          <w:rFonts w:ascii="Arial" w:hAnsi="Arial" w:cs="Arial"/>
        </w:rPr>
        <w:t>To source or draft a whole school Pay Policy on an annual basis and make a recommendation to the Governing Board for its adoption.</w:t>
      </w:r>
    </w:p>
    <w:p w:rsidR="00984BAC" w:rsidRPr="007C67DB" w:rsidRDefault="00984BAC" w:rsidP="00984BAC">
      <w:pPr>
        <w:pStyle w:val="NoSpacing"/>
        <w:numPr>
          <w:ilvl w:val="0"/>
          <w:numId w:val="1"/>
        </w:numPr>
        <w:rPr>
          <w:rFonts w:ascii="Arial" w:hAnsi="Arial" w:cs="Arial"/>
        </w:rPr>
      </w:pPr>
      <w:r w:rsidRPr="007C67DB">
        <w:rPr>
          <w:rFonts w:ascii="Arial" w:hAnsi="Arial" w:cs="Arial"/>
        </w:rPr>
        <w:t>To achieve the aims and objectives of the whole school Pay Policy</w:t>
      </w:r>
    </w:p>
    <w:p w:rsidR="00984BAC" w:rsidRPr="007C67DB" w:rsidRDefault="00984BAC" w:rsidP="00984BAC">
      <w:pPr>
        <w:pStyle w:val="NoSpacing"/>
        <w:numPr>
          <w:ilvl w:val="0"/>
          <w:numId w:val="1"/>
        </w:numPr>
        <w:rPr>
          <w:rFonts w:ascii="Arial" w:hAnsi="Arial" w:cs="Arial"/>
        </w:rPr>
      </w:pPr>
      <w:r w:rsidRPr="007C67DB">
        <w:rPr>
          <w:rFonts w:ascii="Arial" w:hAnsi="Arial" w:cs="Arial"/>
        </w:rPr>
        <w:t>To apply the criteria within the policy fairly and consistently, including links with the school Performance Management/ Appraisal policy, in determining the pay of each member of staff, taking account of any recommendations made by the Headteacher, or in the case of the Headteacher by the relevant Governor.</w:t>
      </w:r>
    </w:p>
    <w:p w:rsidR="00984BAC" w:rsidRPr="007C67DB" w:rsidRDefault="00984BAC" w:rsidP="00984BAC">
      <w:pPr>
        <w:pStyle w:val="NoSpacing"/>
        <w:rPr>
          <w:rFonts w:ascii="Arial" w:hAnsi="Arial" w:cs="Arial"/>
        </w:rPr>
      </w:pPr>
    </w:p>
    <w:p w:rsidR="00984BAC" w:rsidRPr="007C67DB" w:rsidRDefault="00984BAC" w:rsidP="00984BAC">
      <w:pPr>
        <w:pStyle w:val="NoSpacing"/>
        <w:rPr>
          <w:rFonts w:ascii="Arial" w:hAnsi="Arial" w:cs="Arial"/>
          <w:u w:val="single"/>
        </w:rPr>
      </w:pPr>
      <w:r w:rsidRPr="007C67DB">
        <w:rPr>
          <w:rFonts w:ascii="Arial" w:hAnsi="Arial" w:cs="Arial"/>
          <w:u w:val="single"/>
        </w:rPr>
        <w:t>Appeals</w:t>
      </w:r>
    </w:p>
    <w:p w:rsidR="00984BAC" w:rsidRPr="007C67DB" w:rsidRDefault="00984BAC" w:rsidP="00984BAC">
      <w:pPr>
        <w:pStyle w:val="NoSpacing"/>
        <w:rPr>
          <w:rFonts w:ascii="Arial" w:hAnsi="Arial" w:cs="Arial"/>
        </w:rPr>
      </w:pPr>
      <w:r w:rsidRPr="007C67DB">
        <w:rPr>
          <w:rFonts w:ascii="Arial" w:hAnsi="Arial" w:cs="Arial"/>
        </w:rPr>
        <w:t>Appeals against the decisions of the Pay Committee will be managed in accordance with the appeals procedure within the whole school Pay Policy.</w:t>
      </w:r>
    </w:p>
    <w:p w:rsidR="00984BAC" w:rsidRPr="007C67DB" w:rsidRDefault="00984BAC" w:rsidP="00984BAC">
      <w:pPr>
        <w:pStyle w:val="NoSpacing"/>
        <w:rPr>
          <w:rFonts w:ascii="Arial" w:hAnsi="Arial" w:cs="Arial"/>
        </w:rPr>
      </w:pPr>
    </w:p>
    <w:p w:rsidR="00984BAC" w:rsidRPr="007C67DB" w:rsidRDefault="00984BAC" w:rsidP="00984BAC">
      <w:pPr>
        <w:pStyle w:val="NoSpacing"/>
        <w:rPr>
          <w:rFonts w:ascii="Arial" w:hAnsi="Arial" w:cs="Arial"/>
          <w:u w:val="single"/>
        </w:rPr>
      </w:pPr>
      <w:r w:rsidRPr="007C67DB">
        <w:rPr>
          <w:rFonts w:ascii="Arial" w:hAnsi="Arial" w:cs="Arial"/>
          <w:u w:val="single"/>
        </w:rPr>
        <w:t>Reporting</w:t>
      </w:r>
    </w:p>
    <w:p w:rsidR="00984BAC" w:rsidRPr="007C67DB" w:rsidRDefault="00984BAC" w:rsidP="00984BAC">
      <w:pPr>
        <w:pStyle w:val="NoSpacing"/>
        <w:rPr>
          <w:rFonts w:ascii="Arial" w:hAnsi="Arial" w:cs="Arial"/>
        </w:rPr>
      </w:pPr>
      <w:r w:rsidRPr="007C67DB">
        <w:rPr>
          <w:rFonts w:ascii="Arial" w:hAnsi="Arial" w:cs="Arial"/>
        </w:rPr>
        <w:t xml:space="preserve">The Pay Committee will report back to the Governing Board on an annual basis or more often as required on their actions and decisions in a confidential section of the agenda. </w:t>
      </w:r>
    </w:p>
    <w:p w:rsidR="00984BAC" w:rsidRPr="007C67DB" w:rsidRDefault="00984BAC" w:rsidP="00984BAC">
      <w:pPr>
        <w:pStyle w:val="NoSpacing"/>
        <w:rPr>
          <w:rFonts w:ascii="Arial" w:hAnsi="Arial" w:cs="Arial"/>
        </w:rPr>
      </w:pPr>
    </w:p>
    <w:p w:rsidR="00984BAC" w:rsidRPr="007C67DB" w:rsidRDefault="00984BAC" w:rsidP="00984BAC">
      <w:pPr>
        <w:rPr>
          <w:rFonts w:ascii="Arial" w:hAnsi="Arial" w:cs="Arial"/>
        </w:rPr>
      </w:pPr>
      <w:r w:rsidRPr="007C67DB">
        <w:rPr>
          <w:rFonts w:ascii="Arial" w:hAnsi="Arial" w:cs="Arial"/>
        </w:rPr>
        <w:t>These Terms of Reference, delegation and members</w:t>
      </w:r>
      <w:r>
        <w:rPr>
          <w:rFonts w:ascii="Arial" w:hAnsi="Arial" w:cs="Arial"/>
        </w:rPr>
        <w:t>hip agreed by the Governing Board</w:t>
      </w:r>
      <w:r w:rsidRPr="007C67DB">
        <w:rPr>
          <w:rFonts w:ascii="Arial" w:hAnsi="Arial" w:cs="Arial"/>
        </w:rPr>
        <w:t xml:space="preserve"> at their meeting held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536"/>
      </w:tblGrid>
      <w:tr w:rsidR="00984BAC" w:rsidRPr="007C67DB" w:rsidTr="00F51F5D">
        <w:tc>
          <w:tcPr>
            <w:tcW w:w="4361" w:type="dxa"/>
            <w:shd w:val="clear" w:color="auto" w:fill="auto"/>
          </w:tcPr>
          <w:p w:rsidR="00984BAC" w:rsidRPr="007C67DB" w:rsidRDefault="00984BAC" w:rsidP="00F51F5D">
            <w:pPr>
              <w:rPr>
                <w:rFonts w:ascii="Arial" w:hAnsi="Arial" w:cs="Arial"/>
                <w:b/>
              </w:rPr>
            </w:pPr>
            <w:r w:rsidRPr="007C67DB">
              <w:rPr>
                <w:rFonts w:ascii="Arial" w:hAnsi="Arial" w:cs="Arial"/>
                <w:b/>
              </w:rPr>
              <w:t>Chair of the Committee</w:t>
            </w:r>
          </w:p>
        </w:tc>
        <w:tc>
          <w:tcPr>
            <w:tcW w:w="4536" w:type="dxa"/>
            <w:shd w:val="clear" w:color="auto" w:fill="auto"/>
          </w:tcPr>
          <w:p w:rsidR="00984BAC" w:rsidRPr="007C67DB" w:rsidRDefault="00984BAC" w:rsidP="00F51F5D">
            <w:pPr>
              <w:rPr>
                <w:rFonts w:ascii="Arial" w:hAnsi="Arial" w:cs="Arial"/>
                <w:b/>
              </w:rPr>
            </w:pPr>
            <w:r w:rsidRPr="007C67DB">
              <w:rPr>
                <w:rFonts w:ascii="Arial" w:hAnsi="Arial" w:cs="Arial"/>
                <w:b/>
              </w:rPr>
              <w:t>Signature</w:t>
            </w:r>
          </w:p>
        </w:tc>
      </w:tr>
      <w:tr w:rsidR="00984BAC" w:rsidRPr="007C67DB" w:rsidTr="00F51F5D">
        <w:trPr>
          <w:trHeight w:val="600"/>
        </w:trPr>
        <w:tc>
          <w:tcPr>
            <w:tcW w:w="4361" w:type="dxa"/>
            <w:shd w:val="clear" w:color="auto" w:fill="auto"/>
          </w:tcPr>
          <w:p w:rsidR="00984BAC" w:rsidRPr="007C67DB" w:rsidRDefault="00984BAC" w:rsidP="00F51F5D">
            <w:pPr>
              <w:rPr>
                <w:rFonts w:ascii="Arial" w:hAnsi="Arial" w:cs="Arial"/>
              </w:rPr>
            </w:pPr>
          </w:p>
        </w:tc>
        <w:tc>
          <w:tcPr>
            <w:tcW w:w="4536" w:type="dxa"/>
            <w:shd w:val="clear" w:color="auto" w:fill="auto"/>
          </w:tcPr>
          <w:p w:rsidR="00984BAC" w:rsidRPr="007C67DB" w:rsidRDefault="00984BAC" w:rsidP="00F51F5D">
            <w:pPr>
              <w:rPr>
                <w:rFonts w:ascii="Arial" w:hAnsi="Arial" w:cs="Arial"/>
              </w:rPr>
            </w:pPr>
          </w:p>
        </w:tc>
      </w:tr>
    </w:tbl>
    <w:p w:rsidR="004D292E" w:rsidRDefault="004D292E" w:rsidP="00984BAC">
      <w:pPr>
        <w:rPr>
          <w:rFonts w:ascii="Arial" w:hAnsi="Arial" w:cs="Arial"/>
        </w:rPr>
      </w:pPr>
    </w:p>
    <w:p w:rsidR="00984BAC" w:rsidRPr="004D292E" w:rsidRDefault="00984BAC" w:rsidP="004D292E">
      <w:pPr>
        <w:pStyle w:val="NoSpacing"/>
        <w:rPr>
          <w:rFonts w:ascii="Arial" w:hAnsi="Arial" w:cs="Arial"/>
        </w:rPr>
      </w:pPr>
      <w:r w:rsidRPr="004D292E">
        <w:rPr>
          <w:rFonts w:ascii="Arial" w:hAnsi="Arial" w:cs="Arial"/>
        </w:rPr>
        <w:t>Clerk to the Committee: Nageena Khan</w:t>
      </w:r>
    </w:p>
    <w:p w:rsidR="004D292E" w:rsidRPr="004D292E" w:rsidRDefault="004D292E" w:rsidP="004D292E">
      <w:pPr>
        <w:pStyle w:val="NoSpacing"/>
        <w:rPr>
          <w:rFonts w:ascii="Arial" w:hAnsi="Arial" w:cs="Arial"/>
        </w:rPr>
      </w:pPr>
      <w:r w:rsidRPr="004D292E">
        <w:rPr>
          <w:rFonts w:ascii="Arial" w:hAnsi="Arial" w:cs="Arial"/>
        </w:rPr>
        <w:t xml:space="preserve">Agreed at the Full </w:t>
      </w:r>
      <w:r w:rsidR="00905CBF">
        <w:rPr>
          <w:rFonts w:ascii="Arial" w:hAnsi="Arial" w:cs="Arial"/>
        </w:rPr>
        <w:t>Board meeting on 24 October 2024</w:t>
      </w:r>
    </w:p>
    <w:p w:rsidR="00853EFD" w:rsidRPr="004D292E" w:rsidRDefault="00905CBF" w:rsidP="004D292E">
      <w:pPr>
        <w:pStyle w:val="NoSpacing"/>
        <w:rPr>
          <w:rFonts w:ascii="Arial" w:hAnsi="Arial" w:cs="Arial"/>
        </w:rPr>
      </w:pPr>
      <w:r>
        <w:rPr>
          <w:rFonts w:ascii="Arial" w:hAnsi="Arial" w:cs="Arial"/>
        </w:rPr>
        <w:t>Date of Review: Autumn 2025</w:t>
      </w:r>
      <w:bookmarkStart w:id="0" w:name="_GoBack"/>
      <w:bookmarkEnd w:id="0"/>
    </w:p>
    <w:sectPr w:rsidR="00853EFD" w:rsidRPr="004D2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906B7"/>
    <w:multiLevelType w:val="hybridMultilevel"/>
    <w:tmpl w:val="AE241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AC"/>
    <w:rsid w:val="00181AF7"/>
    <w:rsid w:val="002F6472"/>
    <w:rsid w:val="004D292E"/>
    <w:rsid w:val="007277AB"/>
    <w:rsid w:val="00853EFD"/>
    <w:rsid w:val="00905CBF"/>
    <w:rsid w:val="00984BAC"/>
    <w:rsid w:val="009B1666"/>
    <w:rsid w:val="00A42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0014"/>
  <w15:docId w15:val="{0607A50F-3019-4521-9E12-A45DC867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4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Nageena Khan</dc:creator>
  <cp:lastModifiedBy>Nageena Khan</cp:lastModifiedBy>
  <cp:revision>2</cp:revision>
  <dcterms:created xsi:type="dcterms:W3CDTF">2024-10-20T01:03:00Z</dcterms:created>
  <dcterms:modified xsi:type="dcterms:W3CDTF">2024-10-20T01:03:00Z</dcterms:modified>
</cp:coreProperties>
</file>